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9FB" w:rsidRDefault="008B456E">
      <w:pPr>
        <w:pBdr>
          <w:top w:val="nil"/>
          <w:left w:val="nil"/>
          <w:bottom w:val="nil"/>
          <w:right w:val="nil"/>
          <w:between w:val="nil"/>
        </w:pBdr>
        <w:rPr>
          <w:rFonts w:ascii="Roboto" w:hAnsi="Roboto"/>
        </w:rPr>
      </w:pP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mjOQaBMAAAAlAAAAEQAAAC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AAAAAAAAAAAAAAAAAAAAAAAAAAAAAAAAAAAAAAAADwAAAA8AAAAAAAAAAAAAAAAA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0" cy="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mjOQaBMAAAAlAAAAEQ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AAAAAAAAAAAAAAAAAAAAAAAAAAAAAAAAAAAAAAAAAAAAAAAAAAAAAAAAAAAAAAAAAAAoAAAACAAAAAEAAAABAAAA"/>
                        </a:ext>
                      </a:extLst>
                    </pic:cNvPicPr>
                  </pic:nvPicPr>
                  <pic:blipFill>
                    <a:blip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1B39FB" w:rsidRDefault="008B45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sz w:val="28"/>
          <w:szCs w:val="28"/>
        </w:rPr>
      </w:pPr>
      <w:bookmarkStart w:id="0" w:name="_GoBack"/>
      <w:r>
        <w:rPr>
          <w:rFonts w:eastAsia="Times New Roman" w:cs="Times New Roman"/>
          <w:b/>
          <w:sz w:val="28"/>
          <w:szCs w:val="28"/>
        </w:rPr>
        <w:t xml:space="preserve">Вступить в Программу долгосрочных сбережений можно будет через </w:t>
      </w:r>
      <w:proofErr w:type="spellStart"/>
      <w:r>
        <w:rPr>
          <w:rFonts w:eastAsia="Times New Roman" w:cs="Times New Roman"/>
          <w:b/>
          <w:sz w:val="28"/>
          <w:szCs w:val="28"/>
        </w:rPr>
        <w:t>Госуслуги</w:t>
      </w:r>
      <w:proofErr w:type="spellEnd"/>
    </w:p>
    <w:bookmarkEnd w:id="0"/>
    <w:p w:rsidR="001B39FB" w:rsidRDefault="008B456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С 1 октября текущего года заключить договор по Программе долгосрочных сбережений (ПДС) можно будет через единый портал </w:t>
      </w:r>
      <w:proofErr w:type="spellStart"/>
      <w:r>
        <w:rPr>
          <w:rFonts w:eastAsia="Times New Roman" w:cs="Times New Roman"/>
          <w:sz w:val="28"/>
          <w:szCs w:val="28"/>
        </w:rPr>
        <w:t>Госуслуг</w:t>
      </w:r>
      <w:proofErr w:type="spellEnd"/>
      <w:r>
        <w:rPr>
          <w:rFonts w:eastAsia="Times New Roman" w:cs="Times New Roman"/>
          <w:sz w:val="28"/>
          <w:szCs w:val="28"/>
        </w:rPr>
        <w:t xml:space="preserve"> (ЕПГУ). Госдума приняла в третьем чтении соответствующий закон </w:t>
      </w:r>
      <w:hyperlink r:id="rId6" w:history="1">
        <w:r>
          <w:rPr>
            <w:rStyle w:val="a8"/>
            <w:rFonts w:eastAsia="Times New Roman" w:cs="Times New Roman"/>
            <w:sz w:val="28"/>
            <w:szCs w:val="28"/>
          </w:rPr>
          <w:t>(№442970-8</w:t>
        </w:r>
        <w:r>
          <w:rPr>
            <w:rStyle w:val="a8"/>
            <w:rFonts w:eastAsia="Times New Roman" w:cs="Times New Roman"/>
            <w:sz w:val="28"/>
            <w:szCs w:val="28"/>
          </w:rPr>
          <w:t>).</w:t>
        </w:r>
      </w:hyperlink>
      <w:r>
        <w:rPr>
          <w:rFonts w:eastAsia="Times New Roman" w:cs="Times New Roman"/>
          <w:sz w:val="28"/>
          <w:szCs w:val="28"/>
        </w:rPr>
        <w:t> </w:t>
      </w:r>
    </w:p>
    <w:p w:rsidR="001B39FB" w:rsidRDefault="008B456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Договор долгосрочных сбережений теперь может быть заключен в том числе в форме электронного документа с использованием единого портала государственных и муниципальных услуг. Для самих граждан процесс подачи и подписания заявления через ЕПГУ не должен с</w:t>
      </w:r>
      <w:r>
        <w:rPr>
          <w:rFonts w:eastAsia="Times New Roman" w:cs="Times New Roman"/>
          <w:sz w:val="28"/>
          <w:szCs w:val="28"/>
        </w:rPr>
        <w:t xml:space="preserve">оставлять какой-либо сложности. Подписать договор можно будет либо усиленной квалифицированной электронной подписью (ЭП), либо усиленной неквалифицированной ЭП, выданной в инфраструктуре </w:t>
      </w:r>
      <w:proofErr w:type="spellStart"/>
      <w:r>
        <w:rPr>
          <w:rFonts w:eastAsia="Times New Roman" w:cs="Times New Roman"/>
          <w:sz w:val="28"/>
          <w:szCs w:val="28"/>
        </w:rPr>
        <w:t>Госуслуг</w:t>
      </w:r>
      <w:proofErr w:type="spellEnd"/>
      <w:r>
        <w:rPr>
          <w:rFonts w:eastAsia="Times New Roman" w:cs="Times New Roman"/>
          <w:sz w:val="28"/>
          <w:szCs w:val="28"/>
        </w:rPr>
        <w:t xml:space="preserve">. </w:t>
      </w:r>
    </w:p>
    <w:p w:rsidR="001B39FB" w:rsidRDefault="008B456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Вводится норма, согласно которой, если договор прекращен д</w:t>
      </w:r>
      <w:r>
        <w:rPr>
          <w:rFonts w:eastAsia="Times New Roman" w:cs="Times New Roman"/>
          <w:sz w:val="28"/>
          <w:szCs w:val="28"/>
        </w:rPr>
        <w:t>о 1 апреля года, следующего за годом первого взноса, господдержка по нему не предоставляется. Исключение — расторжение договора долгосрочных сбережений в связи с переводом выкупной суммы в другой фонд.</w:t>
      </w:r>
    </w:p>
    <w:sectPr w:rsidR="001B39FB">
      <w:pgSz w:w="11906" w:h="1683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XO Thames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60041"/>
    <w:multiLevelType w:val="hybridMultilevel"/>
    <w:tmpl w:val="EB269264"/>
    <w:name w:val="Нумерованный список 2"/>
    <w:lvl w:ilvl="0" w:tplc="686C52BE">
      <w:start w:val="1"/>
      <w:numFmt w:val="decimal"/>
      <w:lvlText w:val="%1."/>
      <w:lvlJc w:val="left"/>
      <w:pPr>
        <w:ind w:left="360" w:firstLine="0"/>
      </w:pPr>
      <w:rPr>
        <w:sz w:val="28"/>
      </w:rPr>
    </w:lvl>
    <w:lvl w:ilvl="1" w:tplc="D48A6430">
      <w:start w:val="1"/>
      <w:numFmt w:val="lowerLetter"/>
      <w:lvlText w:val="%2."/>
      <w:lvlJc w:val="left"/>
      <w:pPr>
        <w:ind w:left="1080" w:firstLine="0"/>
      </w:pPr>
    </w:lvl>
    <w:lvl w:ilvl="2" w:tplc="17D82A9E">
      <w:start w:val="1"/>
      <w:numFmt w:val="lowerRoman"/>
      <w:lvlText w:val="%3."/>
      <w:lvlJc w:val="right"/>
      <w:pPr>
        <w:ind w:left="1980" w:firstLine="0"/>
      </w:pPr>
    </w:lvl>
    <w:lvl w:ilvl="3" w:tplc="575A9DDE">
      <w:start w:val="1"/>
      <w:numFmt w:val="decimal"/>
      <w:lvlText w:val="%4."/>
      <w:lvlJc w:val="left"/>
      <w:pPr>
        <w:ind w:left="2520" w:firstLine="0"/>
      </w:pPr>
    </w:lvl>
    <w:lvl w:ilvl="4" w:tplc="CF5810D8">
      <w:start w:val="1"/>
      <w:numFmt w:val="lowerLetter"/>
      <w:lvlText w:val="%5."/>
      <w:lvlJc w:val="left"/>
      <w:pPr>
        <w:ind w:left="3240" w:firstLine="0"/>
      </w:pPr>
    </w:lvl>
    <w:lvl w:ilvl="5" w:tplc="9954C6A2">
      <w:start w:val="1"/>
      <w:numFmt w:val="lowerRoman"/>
      <w:lvlText w:val="%6."/>
      <w:lvlJc w:val="right"/>
      <w:pPr>
        <w:ind w:left="4140" w:firstLine="0"/>
      </w:pPr>
    </w:lvl>
    <w:lvl w:ilvl="6" w:tplc="B360D8AE">
      <w:start w:val="1"/>
      <w:numFmt w:val="decimal"/>
      <w:lvlText w:val="%7."/>
      <w:lvlJc w:val="left"/>
      <w:pPr>
        <w:ind w:left="4680" w:firstLine="0"/>
      </w:pPr>
    </w:lvl>
    <w:lvl w:ilvl="7" w:tplc="29B2F6FE">
      <w:start w:val="1"/>
      <w:numFmt w:val="lowerLetter"/>
      <w:lvlText w:val="%8."/>
      <w:lvlJc w:val="left"/>
      <w:pPr>
        <w:ind w:left="5400" w:firstLine="0"/>
      </w:pPr>
    </w:lvl>
    <w:lvl w:ilvl="8" w:tplc="065C7B88">
      <w:start w:val="1"/>
      <w:numFmt w:val="lowerRoman"/>
      <w:lvlText w:val="%9."/>
      <w:lvlJc w:val="right"/>
      <w:pPr>
        <w:ind w:left="6300" w:firstLine="0"/>
      </w:pPr>
    </w:lvl>
  </w:abstractNum>
  <w:abstractNum w:abstractNumId="1" w15:restartNumberingAfterBreak="0">
    <w:nsid w:val="2D0852D3"/>
    <w:multiLevelType w:val="hybridMultilevel"/>
    <w:tmpl w:val="627A7936"/>
    <w:name w:val="Нумерованный список 1"/>
    <w:lvl w:ilvl="0" w:tplc="A33A8E3C">
      <w:start w:val="1"/>
      <w:numFmt w:val="decimal"/>
      <w:lvlText w:val="%1."/>
      <w:lvlJc w:val="left"/>
      <w:pPr>
        <w:ind w:left="360" w:firstLine="0"/>
      </w:pPr>
      <w:rPr>
        <w:sz w:val="28"/>
      </w:rPr>
    </w:lvl>
    <w:lvl w:ilvl="1" w:tplc="33220AAC">
      <w:start w:val="1"/>
      <w:numFmt w:val="lowerLetter"/>
      <w:lvlText w:val="%2."/>
      <w:lvlJc w:val="left"/>
      <w:pPr>
        <w:ind w:left="1080" w:firstLine="0"/>
      </w:pPr>
    </w:lvl>
    <w:lvl w:ilvl="2" w:tplc="C59C7E72">
      <w:start w:val="1"/>
      <w:numFmt w:val="lowerRoman"/>
      <w:lvlText w:val="%3."/>
      <w:lvlJc w:val="right"/>
      <w:pPr>
        <w:ind w:left="1980" w:firstLine="0"/>
      </w:pPr>
    </w:lvl>
    <w:lvl w:ilvl="3" w:tplc="7682CAB2">
      <w:start w:val="1"/>
      <w:numFmt w:val="decimal"/>
      <w:lvlText w:val="%4."/>
      <w:lvlJc w:val="left"/>
      <w:pPr>
        <w:ind w:left="2520" w:firstLine="0"/>
      </w:pPr>
    </w:lvl>
    <w:lvl w:ilvl="4" w:tplc="981035C6">
      <w:start w:val="1"/>
      <w:numFmt w:val="lowerLetter"/>
      <w:lvlText w:val="%5."/>
      <w:lvlJc w:val="left"/>
      <w:pPr>
        <w:ind w:left="3240" w:firstLine="0"/>
      </w:pPr>
    </w:lvl>
    <w:lvl w:ilvl="5" w:tplc="3DD68932">
      <w:start w:val="1"/>
      <w:numFmt w:val="lowerRoman"/>
      <w:lvlText w:val="%6."/>
      <w:lvlJc w:val="right"/>
      <w:pPr>
        <w:ind w:left="4140" w:firstLine="0"/>
      </w:pPr>
    </w:lvl>
    <w:lvl w:ilvl="6" w:tplc="E6969312">
      <w:start w:val="1"/>
      <w:numFmt w:val="decimal"/>
      <w:lvlText w:val="%7."/>
      <w:lvlJc w:val="left"/>
      <w:pPr>
        <w:ind w:left="4680" w:firstLine="0"/>
      </w:pPr>
    </w:lvl>
    <w:lvl w:ilvl="7" w:tplc="919CBBFC">
      <w:start w:val="1"/>
      <w:numFmt w:val="lowerLetter"/>
      <w:lvlText w:val="%8."/>
      <w:lvlJc w:val="left"/>
      <w:pPr>
        <w:ind w:left="5400" w:firstLine="0"/>
      </w:pPr>
    </w:lvl>
    <w:lvl w:ilvl="8" w:tplc="3D5A2418">
      <w:start w:val="1"/>
      <w:numFmt w:val="lowerRoman"/>
      <w:lvlText w:val="%9."/>
      <w:lvlJc w:val="right"/>
      <w:pPr>
        <w:ind w:left="6300" w:firstLine="0"/>
      </w:pPr>
    </w:lvl>
  </w:abstractNum>
  <w:abstractNum w:abstractNumId="2" w15:restartNumberingAfterBreak="0">
    <w:nsid w:val="6FB5518F"/>
    <w:multiLevelType w:val="hybridMultilevel"/>
    <w:tmpl w:val="27CAE054"/>
    <w:lvl w:ilvl="0" w:tplc="8E0007C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28ECA2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630467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AF81F4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EE0B5A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158DFE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FD848F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A6A7FD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DBE7D1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FB"/>
    <w:rsid w:val="001B39FB"/>
    <w:rsid w:val="008B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4A5FC-0A5A-4D28-B6EF-4EEAB5C3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sic Roman" w:hAnsi="Times New Roman" w:cs="Basic Roman"/>
        <w:color w:val="000000"/>
        <w:sz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360" w:after="120" w:line="276" w:lineRule="auto"/>
      <w:jc w:val="center"/>
      <w:outlineLvl w:val="0"/>
    </w:pPr>
    <w:rPr>
      <w:b/>
      <w:sz w:val="28"/>
    </w:rPr>
  </w:style>
  <w:style w:type="paragraph" w:styleId="2">
    <w:name w:val="heading 2"/>
    <w:next w:val="a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qFormat/>
    <w:pPr>
      <w:spacing w:before="120" w:after="120" w:line="276" w:lineRule="auto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next w:val="a"/>
    <w:qFormat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qFormat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qFormat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qFormat/>
    <w:pPr>
      <w:spacing w:after="200" w:line="276" w:lineRule="auto"/>
      <w:ind w:left="1200"/>
    </w:pPr>
    <w:rPr>
      <w:rFonts w:ascii="XO Thames" w:hAnsi="XO Thames"/>
      <w:sz w:val="28"/>
    </w:rPr>
  </w:style>
  <w:style w:type="paragraph" w:styleId="a3">
    <w:name w:val="Balloon Text"/>
    <w:basedOn w:val="a"/>
    <w:qFormat/>
    <w:rPr>
      <w:rFonts w:ascii="Tahoma" w:hAnsi="Tahoma"/>
      <w:sz w:val="16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</w:style>
  <w:style w:type="paragraph" w:styleId="30">
    <w:name w:val="toc 3"/>
    <w:next w:val="a"/>
    <w:qFormat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10">
    <w:name w:val="Основной шрифт абзаца1"/>
    <w:qFormat/>
    <w:pPr>
      <w:spacing w:after="200" w:line="276" w:lineRule="auto"/>
    </w:pPr>
    <w:rPr>
      <w:rFonts w:ascii="Calibri" w:hAnsi="Calibri"/>
      <w:sz w:val="22"/>
    </w:rPr>
  </w:style>
  <w:style w:type="paragraph" w:customStyle="1" w:styleId="11">
    <w:name w:val="Гиперссылка1"/>
    <w:basedOn w:val="10"/>
    <w:qFormat/>
    <w:rPr>
      <w:color w:val="0000FF"/>
      <w:u w:val="single"/>
    </w:rPr>
  </w:style>
  <w:style w:type="paragraph" w:customStyle="1" w:styleId="Footnote">
    <w:name w:val="Footnote"/>
    <w:qFormat/>
    <w:pPr>
      <w:spacing w:after="200" w:line="276" w:lineRule="auto"/>
      <w:ind w:firstLine="851"/>
      <w:jc w:val="both"/>
    </w:pPr>
    <w:rPr>
      <w:rFonts w:ascii="XO Thames" w:hAnsi="XO Thames"/>
      <w:sz w:val="22"/>
    </w:rPr>
  </w:style>
  <w:style w:type="paragraph" w:styleId="12">
    <w:name w:val="toc 1"/>
    <w:next w:val="a"/>
    <w:qFormat/>
    <w:pPr>
      <w:spacing w:after="200" w:line="276" w:lineRule="auto"/>
    </w:pPr>
    <w:rPr>
      <w:rFonts w:ascii="XO Thames" w:hAnsi="XO Thames"/>
      <w:b/>
      <w:sz w:val="28"/>
    </w:rPr>
  </w:style>
  <w:style w:type="paragraph" w:customStyle="1" w:styleId="HeaderandFooter">
    <w:name w:val="Header and Footer"/>
    <w:qFormat/>
    <w:pPr>
      <w:spacing w:after="200"/>
      <w:jc w:val="both"/>
    </w:pPr>
    <w:rPr>
      <w:rFonts w:ascii="XO Thames" w:hAnsi="XO Thames"/>
    </w:rPr>
  </w:style>
  <w:style w:type="paragraph" w:styleId="9">
    <w:name w:val="toc 9"/>
    <w:next w:val="a"/>
    <w:qFormat/>
    <w:pPr>
      <w:spacing w:after="200" w:line="276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qFormat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qFormat/>
    <w:pPr>
      <w:spacing w:after="200" w:line="276" w:lineRule="auto"/>
      <w:ind w:left="800"/>
    </w:pPr>
    <w:rPr>
      <w:rFonts w:ascii="XO Thames" w:hAnsi="XO Thames"/>
      <w:sz w:val="28"/>
    </w:rPr>
  </w:style>
  <w:style w:type="paragraph" w:styleId="a5">
    <w:name w:val="Subtitle"/>
    <w:next w:val="a"/>
    <w:qFormat/>
    <w:pPr>
      <w:spacing w:after="200" w:line="276" w:lineRule="auto"/>
      <w:jc w:val="both"/>
    </w:pPr>
    <w:rPr>
      <w:rFonts w:ascii="XO Thames" w:hAnsi="XO Thames"/>
      <w:i/>
    </w:rPr>
  </w:style>
  <w:style w:type="paragraph" w:styleId="a6">
    <w:name w:val="Title"/>
    <w:next w:val="a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21">
    <w:name w:val="Body Text Indent 2"/>
    <w:basedOn w:val="a"/>
    <w:qFormat/>
    <w:pPr>
      <w:spacing w:after="120" w:line="480" w:lineRule="auto"/>
      <w:ind w:left="283"/>
    </w:pPr>
    <w:rPr>
      <w:rFonts w:eastAsia="Times New Roman" w:cs="Times New Roman"/>
      <w:color w:val="auto"/>
      <w:szCs w:val="24"/>
    </w:rPr>
  </w:style>
  <w:style w:type="character" w:customStyle="1" w:styleId="210">
    <w:name w:val="Оглавление 21"/>
    <w:rPr>
      <w:rFonts w:ascii="XO Thames" w:hAnsi="XO Thames"/>
      <w:sz w:val="28"/>
    </w:rPr>
  </w:style>
  <w:style w:type="character" w:customStyle="1" w:styleId="41">
    <w:name w:val="Оглавление 41"/>
    <w:rPr>
      <w:rFonts w:ascii="XO Thames" w:hAnsi="XO Thames"/>
      <w:sz w:val="28"/>
    </w:rPr>
  </w:style>
  <w:style w:type="character" w:customStyle="1" w:styleId="61">
    <w:name w:val="Оглавление 61"/>
    <w:rPr>
      <w:rFonts w:ascii="XO Thames" w:hAnsi="XO Thames"/>
      <w:sz w:val="28"/>
    </w:rPr>
  </w:style>
  <w:style w:type="character" w:customStyle="1" w:styleId="71">
    <w:name w:val="Оглавление 71"/>
    <w:rPr>
      <w:rFonts w:ascii="XO Thames" w:hAnsi="XO Thames"/>
      <w:sz w:val="28"/>
    </w:rPr>
  </w:style>
  <w:style w:type="character" w:customStyle="1" w:styleId="13">
    <w:name w:val="Текст выноски1"/>
    <w:rPr>
      <w:rFonts w:ascii="Tahoma" w:hAnsi="Tahoma"/>
      <w:sz w:val="16"/>
    </w:rPr>
  </w:style>
  <w:style w:type="character" w:customStyle="1" w:styleId="31">
    <w:name w:val="Заголовок 31"/>
    <w:rPr>
      <w:rFonts w:ascii="XO Thames" w:hAnsi="XO Thames"/>
      <w:b/>
      <w:sz w:val="26"/>
    </w:rPr>
  </w:style>
  <w:style w:type="character" w:customStyle="1" w:styleId="14">
    <w:name w:val="Верхний колонтитул1"/>
  </w:style>
  <w:style w:type="character" w:customStyle="1" w:styleId="310">
    <w:name w:val="Оглавление 31"/>
    <w:rPr>
      <w:rFonts w:ascii="XO Thames" w:hAnsi="XO Thames"/>
      <w:sz w:val="28"/>
    </w:rPr>
  </w:style>
  <w:style w:type="character" w:customStyle="1" w:styleId="51">
    <w:name w:val="Заголовок 51"/>
    <w:rPr>
      <w:rFonts w:ascii="XO Thames" w:hAnsi="XO Thames"/>
      <w:b/>
      <w:sz w:val="22"/>
    </w:rPr>
  </w:style>
  <w:style w:type="character" w:customStyle="1" w:styleId="110">
    <w:name w:val="Заголовок 11"/>
    <w:rPr>
      <w:b/>
      <w:sz w:val="28"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Footnote0">
    <w:name w:val="Footnote"/>
    <w:rPr>
      <w:rFonts w:ascii="XO Thames" w:hAnsi="XO Thames"/>
      <w:sz w:val="22"/>
    </w:rPr>
  </w:style>
  <w:style w:type="character" w:customStyle="1" w:styleId="111">
    <w:name w:val="Оглавление 11"/>
    <w:rPr>
      <w:rFonts w:ascii="XO Thames" w:hAnsi="XO Thames"/>
      <w:b/>
      <w:sz w:val="28"/>
    </w:rPr>
  </w:style>
  <w:style w:type="character" w:customStyle="1" w:styleId="HeaderandFooter0">
    <w:name w:val="Header and Footer"/>
    <w:rPr>
      <w:rFonts w:ascii="XO Thames" w:hAnsi="XO Thames"/>
      <w:sz w:val="20"/>
    </w:rPr>
  </w:style>
  <w:style w:type="character" w:customStyle="1" w:styleId="91">
    <w:name w:val="Оглавление 91"/>
    <w:rPr>
      <w:rFonts w:ascii="XO Thames" w:hAnsi="XO Thames"/>
      <w:sz w:val="28"/>
    </w:rPr>
  </w:style>
  <w:style w:type="character" w:customStyle="1" w:styleId="81">
    <w:name w:val="Оглавление 81"/>
    <w:rPr>
      <w:rFonts w:ascii="XO Thames" w:hAnsi="XO Thames"/>
      <w:sz w:val="28"/>
    </w:rPr>
  </w:style>
  <w:style w:type="character" w:customStyle="1" w:styleId="510">
    <w:name w:val="Оглавление 51"/>
    <w:rPr>
      <w:rFonts w:ascii="XO Thames" w:hAnsi="XO Thames"/>
      <w:sz w:val="28"/>
    </w:rPr>
  </w:style>
  <w:style w:type="character" w:customStyle="1" w:styleId="15">
    <w:name w:val="Подзаголовок1"/>
    <w:rPr>
      <w:rFonts w:ascii="XO Thames" w:hAnsi="XO Thames"/>
      <w:i/>
      <w:sz w:val="24"/>
    </w:rPr>
  </w:style>
  <w:style w:type="character" w:customStyle="1" w:styleId="a9">
    <w:name w:val="Название"/>
    <w:rPr>
      <w:rFonts w:ascii="XO Thames" w:hAnsi="XO Thames"/>
      <w:b/>
      <w:caps/>
      <w:sz w:val="40"/>
    </w:rPr>
  </w:style>
  <w:style w:type="character" w:customStyle="1" w:styleId="16">
    <w:name w:val="Абзац списка1"/>
  </w:style>
  <w:style w:type="character" w:customStyle="1" w:styleId="410">
    <w:name w:val="Заголовок 41"/>
    <w:rPr>
      <w:rFonts w:ascii="XO Thames" w:hAnsi="XO Thames"/>
      <w:b/>
      <w:sz w:val="24"/>
    </w:rPr>
  </w:style>
  <w:style w:type="character" w:customStyle="1" w:styleId="211">
    <w:name w:val="Заголовок 21"/>
    <w:rPr>
      <w:rFonts w:ascii="XO Thames" w:hAnsi="XO Thames"/>
      <w:b/>
      <w:sz w:val="28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noProof/>
      <w:color w:val="auto"/>
      <w:szCs w:val="24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zd.duma.gov.ru/bill/442970-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Basic Roman"/>
        <a:cs typeface="Basic Roman"/>
      </a:majorFont>
      <a:minorFont>
        <a:latin typeface="Times New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СисАдмин1</dc:creator>
  <cp:keywords/>
  <dc:description/>
  <cp:lastModifiedBy>СисАдмин1</cp:lastModifiedBy>
  <cp:revision>2</cp:revision>
  <cp:lastPrinted>2024-06-26T06:04:00Z</cp:lastPrinted>
  <dcterms:created xsi:type="dcterms:W3CDTF">2025-08-05T03:24:00Z</dcterms:created>
  <dcterms:modified xsi:type="dcterms:W3CDTF">2025-08-05T03:24:00Z</dcterms:modified>
</cp:coreProperties>
</file>